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sz w:val="28"/>
          <w:szCs w:val="28"/>
        </w:rPr>
      </w:pPr>
      <w:bookmarkStart w:id="26" w:name="_GoBack"/>
      <w:bookmarkEnd w:id="26"/>
      <w:r>
        <w:rPr>
          <w:rFonts w:ascii="Times New Roman" w:hAnsi="Times New Roman" w:cs="Times New Roman"/>
          <w:b/>
          <w:sz w:val="28"/>
          <w:szCs w:val="28"/>
        </w:rPr>
        <w:t>Лекция 2.6 Осевые и центробежные компрессоры. Режимные характеристики</w:t>
      </w:r>
    </w:p>
    <w:p>
      <w:pPr>
        <w:pStyle w:val="7"/>
        <w:rPr>
          <w:lang w:eastAsia="ru-RU"/>
        </w:rPr>
      </w:pPr>
      <w:bookmarkStart w:id="0" w:name="_Toc129482412"/>
      <w:bookmarkEnd w:id="0"/>
      <w:bookmarkStart w:id="1" w:name="_Toc129482268"/>
      <w:bookmarkEnd w:id="1"/>
      <w:bookmarkStart w:id="2" w:name="_Toc129481788"/>
      <w:bookmarkEnd w:id="2"/>
      <w:bookmarkStart w:id="3" w:name="_Toc129490591"/>
      <w:bookmarkEnd w:id="3"/>
      <w:bookmarkStart w:id="4" w:name="_Toc129490759"/>
      <w:bookmarkEnd w:id="4"/>
      <w:bookmarkStart w:id="5" w:name="_Toc129490425"/>
      <w:bookmarkEnd w:id="5"/>
      <w:bookmarkStart w:id="6" w:name="_Toc129490590"/>
      <w:bookmarkEnd w:id="6"/>
      <w:bookmarkStart w:id="7" w:name="_Toc129552032"/>
      <w:bookmarkEnd w:id="7"/>
      <w:bookmarkStart w:id="8" w:name="_Toc129552031"/>
      <w:bookmarkEnd w:id="8"/>
      <w:bookmarkStart w:id="9" w:name="_Toc129482411"/>
      <w:bookmarkEnd w:id="9"/>
      <w:bookmarkStart w:id="10" w:name="_Toc129490424"/>
      <w:bookmarkEnd w:id="10"/>
      <w:bookmarkStart w:id="11" w:name="_Toc129482269"/>
      <w:bookmarkEnd w:id="11"/>
      <w:bookmarkStart w:id="12" w:name="_Toc129481790"/>
      <w:bookmarkEnd w:id="12"/>
      <w:bookmarkStart w:id="13" w:name="_Toc129482124"/>
      <w:bookmarkEnd w:id="13"/>
      <w:bookmarkStart w:id="14" w:name="_Toc129490761"/>
      <w:bookmarkEnd w:id="14"/>
      <w:bookmarkStart w:id="15" w:name="_Toc129482123"/>
      <w:bookmarkEnd w:id="15"/>
      <w:bookmarkStart w:id="16" w:name="_Toc129490423"/>
      <w:bookmarkEnd w:id="16"/>
      <w:bookmarkStart w:id="17" w:name="_Toc129490760"/>
      <w:bookmarkEnd w:id="17"/>
      <w:bookmarkStart w:id="18" w:name="_Toc129482125"/>
      <w:bookmarkEnd w:id="18"/>
      <w:bookmarkStart w:id="19" w:name="_Toc129482413"/>
      <w:bookmarkEnd w:id="19"/>
      <w:bookmarkStart w:id="20" w:name="_Toc129490592"/>
      <w:bookmarkEnd w:id="20"/>
      <w:bookmarkStart w:id="21" w:name="_Toc129552033"/>
      <w:bookmarkEnd w:id="21"/>
      <w:bookmarkStart w:id="22" w:name="_Toc129481789"/>
      <w:bookmarkEnd w:id="22"/>
      <w:bookmarkStart w:id="23" w:name="_Toc129482267"/>
      <w:bookmarkEnd w:id="23"/>
      <w:r>
        <w:rPr>
          <w:spacing w:val="3"/>
          <w:lang w:eastAsia="ru-RU"/>
        </w:rPr>
        <w:t>Пересчеты характеристик ТК приходится делать при изме</w:t>
      </w:r>
      <w:r>
        <w:rPr>
          <w:spacing w:val="3"/>
          <w:lang w:eastAsia="ru-RU"/>
        </w:rPr>
        <w:softHyphen/>
      </w:r>
      <w:r>
        <w:rPr>
          <w:lang w:eastAsia="ru-RU"/>
        </w:rPr>
        <w:t>нениях температур газа на входе в ТК (</w:t>
      </w:r>
      <w:r>
        <w:rPr>
          <w:iCs/>
          <w:lang w:val="en-US" w:eastAsia="ru-RU"/>
        </w:rPr>
        <w:t>t</w:t>
      </w:r>
      <w:r>
        <w:rPr>
          <w:iCs/>
          <w:vertAlign w:val="subscript"/>
          <w:lang w:val="en-US" w:eastAsia="ru-RU"/>
        </w:rPr>
        <w:t>B</w:t>
      </w:r>
      <w:r>
        <w:rPr>
          <w:vertAlign w:val="subscript"/>
          <w:lang w:val="en-US" w:eastAsia="ru-RU"/>
        </w:rPr>
        <w:t>K</w:t>
      </w:r>
      <w:r>
        <w:rPr>
          <w:vertAlign w:val="subscript"/>
          <w:lang w:eastAsia="ru-RU"/>
        </w:rPr>
        <w:t xml:space="preserve"> </w:t>
      </w:r>
      <w:r>
        <w:rPr>
          <w:lang w:eastAsia="ru-RU"/>
        </w:rPr>
        <w:t xml:space="preserve">= </w:t>
      </w:r>
      <w:r>
        <w:rPr>
          <w:lang w:val="en-US" w:eastAsia="ru-RU"/>
        </w:rPr>
        <w:t>var</w:t>
      </w:r>
      <w:r>
        <w:rPr>
          <w:lang w:eastAsia="ru-RU"/>
        </w:rPr>
        <w:t>); изменениях частоты вращения ТК; работе ТК на другом газе (не том, для которого имеется характеристика). Все методы пересчетов базируются на ос</w:t>
      </w:r>
      <w:r>
        <w:rPr>
          <w:lang w:eastAsia="ru-RU"/>
        </w:rPr>
        <w:softHyphen/>
      </w:r>
      <w:r>
        <w:rPr>
          <w:lang w:eastAsia="ru-RU"/>
        </w:rPr>
        <w:t>новном уравнении турбомашин:</w:t>
      </w:r>
    </w:p>
    <w:p>
      <w:pPr>
        <w:pStyle w:val="7"/>
        <w:rPr>
          <w:lang w:eastAsia="ru-RU"/>
        </w:rPr>
      </w:pPr>
      <w:r>
        <w:rPr>
          <w:lang w:eastAsia="ru-RU"/>
        </w:rPr>
        <w:t xml:space="preserve"> </w:t>
      </w:r>
      <w:r>
        <w:rPr>
          <w:lang w:eastAsia="ru-RU"/>
        </w:rPr>
        <w:drawing>
          <wp:inline distT="0" distB="0" distL="0" distR="0">
            <wp:extent cx="5940425" cy="596265"/>
            <wp:effectExtent l="0" t="0" r="3175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</w:pPr>
      <w:r>
        <w:rPr>
          <w:spacing w:val="-1"/>
          <w:lang w:eastAsia="ru-RU"/>
        </w:rPr>
        <w:t>Идея метода пересчета по приведенным харак</w:t>
      </w:r>
      <w:r>
        <w:rPr>
          <w:spacing w:val="-1"/>
          <w:lang w:eastAsia="ru-RU"/>
        </w:rPr>
        <w:softHyphen/>
      </w:r>
      <w:r>
        <w:rPr>
          <w:spacing w:val="1"/>
          <w:lang w:eastAsia="ru-RU"/>
        </w:rPr>
        <w:t xml:space="preserve">теристикам турбокомпрессоров: </w:t>
      </w:r>
      <w:r>
        <w:rPr>
          <w:lang w:eastAsia="ru-RU"/>
        </w:rPr>
        <w:t>несмотря на измене</w:t>
      </w:r>
      <w:r>
        <w:rPr>
          <w:lang w:eastAsia="ru-RU"/>
        </w:rPr>
        <w:softHyphen/>
      </w:r>
      <w:r>
        <w:rPr>
          <w:spacing w:val="7"/>
          <w:lang w:eastAsia="ru-RU"/>
        </w:rPr>
        <w:t>ние температуры на всасывании, найти такую частоту враще</w:t>
      </w:r>
      <w:r>
        <w:rPr>
          <w:spacing w:val="7"/>
          <w:lang w:eastAsia="ru-RU"/>
        </w:rPr>
        <w:softHyphen/>
      </w:r>
      <w:r>
        <w:rPr>
          <w:lang w:eastAsia="ru-RU"/>
        </w:rPr>
        <w:t xml:space="preserve">ния </w:t>
      </w:r>
      <w:r>
        <w:rPr>
          <w:iCs/>
          <w:lang w:val="en-US" w:eastAsia="ru-RU"/>
        </w:rPr>
        <w:t>n</w:t>
      </w:r>
      <w:r>
        <w:rPr>
          <w:iCs/>
          <w:lang w:eastAsia="ru-RU"/>
        </w:rPr>
        <w:t>’</w:t>
      </w:r>
      <w:r>
        <w:rPr>
          <w:i/>
          <w:iCs/>
          <w:lang w:eastAsia="ru-RU"/>
        </w:rPr>
        <w:t xml:space="preserve"> </w:t>
      </w:r>
      <w:r>
        <w:rPr>
          <w:lang w:eastAsia="ru-RU"/>
        </w:rPr>
        <w:t xml:space="preserve">и такого расхода газа </w:t>
      </w:r>
      <w:r>
        <w:rPr>
          <w:lang w:val="en-US" w:eastAsia="ru-RU"/>
        </w:rPr>
        <w:t>G</w:t>
      </w:r>
      <w:r>
        <w:rPr>
          <w:iCs/>
          <w:lang w:eastAsia="ru-RU"/>
        </w:rPr>
        <w:t>’</w:t>
      </w:r>
      <w:r>
        <w:rPr>
          <w:iCs/>
          <w:vertAlign w:val="subscript"/>
          <w:lang w:eastAsia="ru-RU"/>
        </w:rPr>
        <w:t>вк</w:t>
      </w:r>
      <w:r>
        <w:rPr>
          <w:lang w:eastAsia="ru-RU"/>
        </w:rPr>
        <w:t xml:space="preserve">, при которых </w:t>
      </w:r>
      <w:r>
        <w:rPr>
          <w:spacing w:val="11"/>
          <w:lang w:eastAsia="ru-RU"/>
        </w:rPr>
        <w:t xml:space="preserve">степень сжатия газа </w:t>
      </w:r>
      <w:r>
        <w:rPr>
          <w:lang w:eastAsia="ru-RU"/>
        </w:rPr>
        <w:t xml:space="preserve">в ТК останется неизменной. Поиск соответствующих </w:t>
      </w:r>
      <w:r>
        <w:rPr>
          <w:iCs/>
          <w:lang w:val="en-US" w:eastAsia="ru-RU"/>
        </w:rPr>
        <w:t>n</w:t>
      </w:r>
      <w:r>
        <w:rPr>
          <w:iCs/>
          <w:lang w:eastAsia="ru-RU"/>
        </w:rPr>
        <w:t xml:space="preserve">’ </w:t>
      </w:r>
      <w:r>
        <w:rPr>
          <w:lang w:eastAsia="ru-RU"/>
        </w:rPr>
        <w:t xml:space="preserve">и </w:t>
      </w:r>
      <w:r>
        <w:rPr>
          <w:lang w:val="en-US" w:eastAsia="ru-RU"/>
        </w:rPr>
        <w:t>G</w:t>
      </w:r>
      <w:r>
        <w:rPr>
          <w:iCs/>
          <w:lang w:eastAsia="ru-RU"/>
        </w:rPr>
        <w:t>’</w:t>
      </w:r>
      <w:r>
        <w:rPr>
          <w:iCs/>
          <w:vertAlign w:val="subscript"/>
          <w:lang w:eastAsia="ru-RU"/>
        </w:rPr>
        <w:t>вк</w:t>
      </w:r>
      <w:r>
        <w:rPr>
          <w:vertAlign w:val="subscript"/>
          <w:lang w:eastAsia="ru-RU"/>
        </w:rPr>
        <w:t>.</w:t>
      </w:r>
      <w:r>
        <w:rPr>
          <w:lang w:eastAsia="ru-RU"/>
        </w:rPr>
        <w:t xml:space="preserve"> ведется с использованием уравнения турбомашин, исходя из которого, можем на</w:t>
      </w:r>
      <w:r>
        <w:rPr>
          <w:lang w:eastAsia="ru-RU"/>
        </w:rPr>
        <w:softHyphen/>
      </w:r>
      <w:r>
        <w:rPr>
          <w:spacing w:val="-3"/>
          <w:lang w:eastAsia="ru-RU"/>
        </w:rPr>
        <w:t>писать: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751" w:right="-829"/>
              <w:rPr>
                <w:i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φ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 w:cs="Times New Roman"/>
                    <w:szCs w:val="28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k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k−1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∙R∙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T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вк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cs="Times New Roman"/>
                        <w:szCs w:val="28"/>
                        <w:lang w:val="en-US" w:bidi="ru-RU"/>
                      </w:rPr>
                      <m:t>'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8"/>
                                    <w:lang w:val="en-US" w:bidi="ru-RU"/>
                                  </w:rPr>
                                </m:ctrlPr>
                              </m:sSup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Cs w:val="28"/>
                                    <w:lang w:val="en-US" w:bidi="ru-RU"/>
                                  </w:rPr>
                                  <m:t>ε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8"/>
                                    <w:lang w:val="en-US" w:bidi="ru-RU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Cs w:val="28"/>
                                    <w:lang w:val="en-US" w:bidi="ru-RU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8"/>
                                    <w:lang w:val="en-US" w:bidi="ru-RU"/>
                                  </w:rPr>
                                </m:ctrlPr>
                              </m:sup>
                            </m:sSup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k−1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−</m:t>
                    </m:r>
                    <m:r>
                      <m:rPr/>
                      <w:rPr>
                        <w:rFonts w:ascii="Cambria Math" w:hAnsi="Cambria Math" w:cs="Times New Roman"/>
                        <w:szCs w:val="28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Times New Roman"/>
                        <w:szCs w:val="28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Cs w:val="28"/>
                            <w:lang w:val="en-US" w:bidi="ru-RU"/>
                          </w:rPr>
                          <m:t>η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Cs w:val="28"/>
                            <w:lang w:val="en-US" w:bidi="ru-RU"/>
                          </w:rPr>
                          <m:t>ИЭ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den>
                </m:f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751" w:right="-829"/>
              <w:rPr>
                <w:i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φ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0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u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 w:cs="Times New Roman"/>
                    <w:szCs w:val="28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k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k−1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∙R∙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T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bidi="ru-RU"/>
                      </w:rPr>
                      <m:t>вк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 w:cs="Times New Roman"/>
                        <w:szCs w:val="28"/>
                        <w:lang w:val="en-US" w:bidi="ru-RU"/>
                      </w:rPr>
                      <m:t>0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8"/>
                                    <w:lang w:val="en-US" w:bidi="ru-RU"/>
                                  </w:rPr>
                                </m:ctrlPr>
                              </m:sSupPr>
                              <m:e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Cs w:val="28"/>
                                    <w:lang w:val="en-US" w:bidi="ru-RU"/>
                                  </w:rPr>
                                  <m:t>ε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8"/>
                                    <w:lang w:val="en-US" w:bidi="ru-RU"/>
                                  </w:rPr>
                                </m:ctrlPr>
                              </m:e>
                              <m:sup>
                                <m:r>
                                  <m:rPr/>
                                  <w:rPr>
                                    <w:rFonts w:ascii="Cambria Math" w:hAnsi="Cambria Math" w:cs="Times New Roman"/>
                                    <w:szCs w:val="28"/>
                                    <w:lang w:val="en-US" w:bidi="ru-RU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8"/>
                                    <w:lang w:val="en-US" w:bidi="ru-RU"/>
                                  </w:rPr>
                                </m:ctrlPr>
                              </m:sup>
                            </m:sSup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fPr>
                          <m:num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k−1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num>
                          <m:den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k</m:t>
                            </m: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8"/>
                                <w:lang w:val="en-US" w:bidi="ru-RU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sup>
                    </m:s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−</m:t>
                    </m:r>
                    <m:r>
                      <m:rPr/>
                      <w:rPr>
                        <w:rFonts w:ascii="Cambria Math" w:hAnsi="Cambria Math" w:cs="Times New Roman"/>
                        <w:szCs w:val="28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cs="Times New Roman"/>
                        <w:szCs w:val="28"/>
                        <w:lang w:val="en-US" w:bidi="ru-RU"/>
                      </w:rPr>
                      <m:t>1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 w:cs="Times New Roman"/>
                            <w:szCs w:val="28"/>
                            <w:lang w:val="en-US" w:bidi="ru-RU"/>
                          </w:rPr>
                          <m:t>η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 w:cs="Times New Roman"/>
                            <w:szCs w:val="28"/>
                            <w:lang w:val="en-US" w:bidi="ru-RU"/>
                          </w:rPr>
                          <m:t>ИЭ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8"/>
                            <w:lang w:val="en-US" w:bidi="ru-RU"/>
                          </w:rPr>
                        </m:ctrlPr>
                      </m:sub>
                    </m:sSub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den>
                </m:f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</w:p>
        </w:tc>
      </w:tr>
    </w:tbl>
    <w:p>
      <w:pPr>
        <w:pStyle w:val="7"/>
      </w:pPr>
      <w:r>
        <w:t xml:space="preserve">Поделим эти выражения друг на друга. С учетом того, что </w:t>
      </w:r>
      <m:oMath>
        <m:sSup>
          <m:sSupPr>
            <m:ctrlPr>
              <w:rPr>
                <w:rFonts w:ascii="Cambria Math" w:hAnsi="Cambria Math"/>
                <w:i/>
                <w:lang w:val="en-US" w:bidi="ru-RU"/>
              </w:rPr>
            </m:ctrlPr>
          </m:sSupPr>
          <m:e>
            <m:r>
              <m:rPr/>
              <w:rPr>
                <w:rFonts w:ascii="Cambria Math" w:hAnsi="Cambria Math"/>
                <w:lang w:val="en-US" w:bidi="ru-RU"/>
              </w:rPr>
              <m:t>ε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p>
            <m:r>
              <m:rPr/>
              <w:rPr>
                <w:rFonts w:ascii="Cambria Math" w:hAnsi="Cambria Math"/>
                <w:lang w:bidi="ru-RU"/>
              </w:rPr>
              <m:t>'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p>
        <m:r>
          <m:rPr/>
          <w:rPr>
            <w:rFonts w:ascii="Cambria Math" w:hAnsi="Cambria Math"/>
            <w:lang w:bidi="ru-RU"/>
          </w:rPr>
          <m:t>=</m:t>
        </m:r>
        <m:sSup>
          <m:sSupPr>
            <m:ctrlPr>
              <w:rPr>
                <w:rFonts w:ascii="Cambria Math" w:hAnsi="Cambria Math"/>
                <w:i/>
                <w:lang w:val="en-US" w:bidi="ru-RU"/>
              </w:rPr>
            </m:ctrlPr>
          </m:sSupPr>
          <m:e>
            <m:r>
              <m:rPr/>
              <w:rPr>
                <w:rFonts w:ascii="Cambria Math" w:hAnsi="Cambria Math"/>
                <w:lang w:val="en-US" w:bidi="ru-RU"/>
              </w:rPr>
              <m:t>ε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p>
            <m:r>
              <m:rPr/>
              <w:rPr>
                <w:rFonts w:ascii="Cambria Math" w:hAnsi="Cambria Math"/>
                <w:lang w:bidi="ru-RU"/>
              </w:rPr>
              <m:t>0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p>
      </m:oMath>
      <w:r>
        <w:t xml:space="preserve"> по заданию, получим: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right="-829"/>
              <w:rPr>
                <w:i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u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u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φ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φ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 w:cs="Times New Roman"/>
                            <w:szCs w:val="28"/>
                            <w:lang w:val="en-US" w:bidi="ru-RU"/>
                          </w:rPr>
                          <m:t>η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ИЭ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 w:cs="Times New Roman"/>
                            <w:szCs w:val="28"/>
                            <w:lang w:val="en-US" w:bidi="ru-RU"/>
                          </w:rPr>
                          <m:t>η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ИЭ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1</w:t>
            </w:r>
            <w:r>
              <w:rPr>
                <w:lang w:val="en-US"/>
              </w:rPr>
              <w:t>)</w:t>
            </w:r>
          </w:p>
        </w:tc>
      </w:tr>
    </w:tbl>
    <w:p>
      <w:pPr>
        <w:pStyle w:val="7"/>
      </w:pPr>
      <w:r>
        <w:t xml:space="preserve">При ε = const сохраняется неизменным отношение </w:t>
      </w:r>
      <w:r>
        <w:rPr>
          <w:i/>
        </w:rPr>
        <w:t>w</w:t>
      </w:r>
      <w:r>
        <w:rPr>
          <w:i/>
          <w:vertAlign w:val="subscript"/>
        </w:rPr>
        <w:t>2</w:t>
      </w:r>
      <w:r>
        <w:rPr>
          <w:i/>
        </w:rPr>
        <w:t>/w</w:t>
      </w:r>
      <w:r>
        <w:rPr>
          <w:i/>
          <w:vertAlign w:val="subscript"/>
        </w:rPr>
        <w:t>1</w:t>
      </w:r>
      <w:r>
        <w:t xml:space="preserve">, как и в случае несжимаемой жидкости, поэтому для обеспечения подобия треугольников скоростей во всей проточной части ТК достаточно обеспечить подобие треугольников на входе в ТК, условием чего является соблюдение соотношения </w:t>
      </w:r>
      <m:oMath>
        <m:f>
          <m:fPr>
            <m:ctrlPr>
              <w:rPr>
                <w:rFonts w:ascii="Cambria Math" w:hAnsi="Cambria Math" w:cstheme="minorBidi"/>
                <w:i/>
                <w:szCs w:val="22"/>
                <w:lang w:val="en-US" w:bidi="ru-RU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lang w:val="en-US" w:bidi="ru-RU"/>
                  </w:rPr>
                  <m:t>V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bidi="ru-RU"/>
                  </w:rPr>
                  <m:t>вк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lang w:bidi="ru-RU"/>
                  </w:rPr>
                  <m:t>'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p>
            </m:sSubSup>
            <m:ctrlPr>
              <w:rPr>
                <w:rFonts w:ascii="Cambria Math" w:hAnsi="Cambria Math" w:cstheme="minorBidi"/>
                <w:i/>
                <w:szCs w:val="22"/>
                <w:lang w:val="en-US" w:bidi="ru-RU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lang w:val="en-US" w:bidi="ru-RU"/>
                  </w:rPr>
                  <m:t>V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bidi="ru-RU"/>
                  </w:rPr>
                  <m:t>вк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lang w:bidi="ru-RU"/>
                  </w:rPr>
                  <m:t>0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p>
            </m:sSubSup>
            <m:ctrlPr>
              <w:rPr>
                <w:rFonts w:ascii="Cambria Math" w:hAnsi="Cambria Math" w:cstheme="minorBidi"/>
                <w:i/>
                <w:szCs w:val="22"/>
                <w:lang w:val="en-US" w:bidi="ru-RU"/>
              </w:rPr>
            </m:ctrlPr>
          </m:den>
        </m:f>
        <m:r>
          <m:rPr/>
          <w:rPr>
            <w:rFonts w:ascii="Cambria Math" w:hAnsi="Cambria Math" w:cstheme="minorBidi"/>
            <w:szCs w:val="22"/>
            <w:lang w:bidi="ru-RU"/>
          </w:rPr>
          <m:t>=</m:t>
        </m:r>
        <m:f>
          <m:fPr>
            <m:ctrlPr>
              <w:rPr>
                <w:rFonts w:ascii="Cambria Math" w:hAnsi="Cambria Math" w:cstheme="minorBidi"/>
                <w:i/>
                <w:szCs w:val="22"/>
                <w:lang w:val="en-US" w:bidi="ru-RU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lang w:val="en-US" w:bidi="ru-RU"/>
                  </w:rPr>
                  <m:t>n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bidi="ru-RU"/>
                  </w:rPr>
                  <m:t xml:space="preserve"> 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lang w:bidi="ru-RU"/>
                  </w:rPr>
                  <m:t>'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p>
            </m:sSubSup>
            <m:ctrlPr>
              <w:rPr>
                <w:rFonts w:ascii="Cambria Math" w:hAnsi="Cambria Math" w:cstheme="minorBidi"/>
                <w:i/>
                <w:szCs w:val="22"/>
                <w:lang w:val="en-US" w:bidi="ru-RU"/>
              </w:rPr>
            </m:ctrlPr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SubSupPr>
              <m:e>
                <m:r>
                  <m:rPr/>
                  <w:rPr>
                    <w:rFonts w:ascii="Cambria Math" w:hAnsi="Cambria Math"/>
                    <w:lang w:val="en-US" w:bidi="ru-RU"/>
                  </w:rPr>
                  <m:t>n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bidi="ru-RU"/>
                  </w:rPr>
                  <m:t xml:space="preserve"> 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b>
              <m:sup>
                <m:r>
                  <m:rPr/>
                  <w:rPr>
                    <w:rFonts w:ascii="Cambria Math" w:hAnsi="Cambria Math"/>
                    <w:lang w:bidi="ru-RU"/>
                  </w:rPr>
                  <m:t>0</m:t>
                </m:r>
                <m:ctrlPr>
                  <w:rPr>
                    <w:rFonts w:ascii="Cambria Math" w:hAnsi="Cambria Math"/>
                    <w:i/>
                    <w:lang w:val="en-US" w:bidi="ru-RU"/>
                  </w:rPr>
                </m:ctrlPr>
              </m:sup>
            </m:sSubSup>
            <m:ctrlPr>
              <w:rPr>
                <w:rFonts w:ascii="Cambria Math" w:hAnsi="Cambria Math" w:cstheme="minorBidi"/>
                <w:i/>
                <w:szCs w:val="22"/>
                <w:lang w:val="en-US" w:bidi="ru-RU"/>
              </w:rPr>
            </m:ctrlPr>
          </m:den>
        </m:f>
      </m:oMath>
      <w:r>
        <w:t xml:space="preserve">. При подобии треугольников </w:t>
      </w:r>
      <m:oMath>
        <m:sSubSup>
          <m:sSubSupPr>
            <m:ctrlPr>
              <w:rPr>
                <w:rFonts w:ascii="Cambria Math" w:hAnsi="Cambria Math"/>
                <w:i/>
                <w:lang w:val="en-US" w:bidi="ru-RU"/>
              </w:rPr>
            </m:ctrlPr>
          </m:sSubSupPr>
          <m:e>
            <m:r>
              <m:rPr/>
              <w:rPr>
                <w:rFonts w:ascii="Cambria Math" w:hAnsi="Cambria Math"/>
                <w:lang w:val="en-US" w:bidi="ru-RU"/>
              </w:rPr>
              <m:t>φ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b>
            <m:r>
              <m:rPr/>
              <w:rPr>
                <w:rFonts w:ascii="Cambria Math" w:hAnsi="Cambria Math"/>
                <w:lang w:bidi="ru-RU"/>
              </w:rPr>
              <m:t>2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b>
          <m:sup>
            <m:r>
              <m:rPr/>
              <w:rPr>
                <w:rFonts w:ascii="Cambria Math" w:hAnsi="Cambria Math"/>
                <w:lang w:bidi="ru-RU"/>
              </w:rPr>
              <m:t>'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bSup>
        <m:r>
          <m:rPr/>
          <w:rPr>
            <w:rFonts w:ascii="Cambria Math" w:hAnsi="Cambria Math"/>
            <w:lang w:bidi="ru-RU"/>
          </w:rPr>
          <m:t>=</m:t>
        </m:r>
        <m:sSubSup>
          <m:sSubSupPr>
            <m:ctrlPr>
              <w:rPr>
                <w:rFonts w:ascii="Cambria Math" w:hAnsi="Cambria Math"/>
                <w:i/>
                <w:lang w:val="en-US" w:bidi="ru-RU"/>
              </w:rPr>
            </m:ctrlPr>
          </m:sSubSupPr>
          <m:e>
            <m:r>
              <m:rPr/>
              <w:rPr>
                <w:rFonts w:ascii="Cambria Math" w:hAnsi="Cambria Math"/>
                <w:lang w:val="en-US" w:bidi="ru-RU"/>
              </w:rPr>
              <m:t>φ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b>
            <m:r>
              <m:rPr/>
              <w:rPr>
                <w:rFonts w:ascii="Cambria Math" w:hAnsi="Cambria Math"/>
                <w:lang w:bidi="ru-RU"/>
              </w:rPr>
              <m:t>2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b>
          <m:sup>
            <m:r>
              <m:rPr/>
              <w:rPr>
                <w:rFonts w:ascii="Cambria Math" w:hAnsi="Cambria Math"/>
                <w:lang w:bidi="ru-RU"/>
              </w:rPr>
              <m:t>0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bSup>
      </m:oMath>
      <w:r>
        <w:rPr>
          <w:rFonts w:eastAsia="Times New Roman"/>
          <w:color w:val="000000"/>
          <w:lang w:eastAsia="ru-RU"/>
        </w:rPr>
        <w:t xml:space="preserve"> </w:t>
      </w:r>
      <w:r>
        <w:t xml:space="preserve">и </w:t>
      </w:r>
      <m:oMath>
        <m:sSubSup>
          <m:sSubSupPr>
            <m:ctrlPr>
              <w:rPr>
                <w:rFonts w:ascii="Cambria Math" w:hAnsi="Cambria Math"/>
                <w:i/>
                <w:lang w:val="en-US" w:bidi="ru-RU"/>
              </w:rPr>
            </m:ctrlPr>
          </m:sSubSupPr>
          <m:e>
            <m:r>
              <m:rPr/>
              <w:rPr>
                <w:rFonts w:ascii="Cambria Math" w:hAnsi="Cambria Math"/>
                <w:lang w:val="en-US" w:bidi="ru-RU"/>
              </w:rPr>
              <m:t>η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b>
            <m:r>
              <m:rPr/>
              <w:rPr>
                <w:rFonts w:ascii="Cambria Math" w:hAnsi="Cambria Math"/>
                <w:lang w:bidi="ru-RU"/>
              </w:rPr>
              <m:t>ИЭ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b>
          <m:sup>
            <m:r>
              <m:rPr/>
              <w:rPr>
                <w:rFonts w:ascii="Cambria Math" w:hAnsi="Cambria Math"/>
                <w:lang w:bidi="ru-RU"/>
              </w:rPr>
              <m:t>'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bSup>
        <m:r>
          <m:rPr/>
          <w:rPr>
            <w:rFonts w:ascii="Cambria Math" w:hAnsi="Cambria Math"/>
            <w:lang w:bidi="ru-RU"/>
          </w:rPr>
          <m:t>≈</m:t>
        </m:r>
        <m:sSubSup>
          <m:sSubSupPr>
            <m:ctrlPr>
              <w:rPr>
                <w:rFonts w:ascii="Cambria Math" w:hAnsi="Cambria Math"/>
                <w:i/>
                <w:lang w:val="en-US" w:bidi="ru-RU"/>
              </w:rPr>
            </m:ctrlPr>
          </m:sSubSupPr>
          <m:e>
            <m:r>
              <m:rPr/>
              <w:rPr>
                <w:rFonts w:ascii="Cambria Math" w:hAnsi="Cambria Math"/>
                <w:lang w:val="en-US" w:bidi="ru-RU"/>
              </w:rPr>
              <m:t>η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b>
            <m:r>
              <m:rPr/>
              <w:rPr>
                <w:rFonts w:ascii="Cambria Math" w:hAnsi="Cambria Math"/>
                <w:lang w:bidi="ru-RU"/>
              </w:rPr>
              <m:t>ИЭ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b>
          <m:sup>
            <m:r>
              <m:rPr/>
              <w:rPr>
                <w:rFonts w:ascii="Cambria Math" w:hAnsi="Cambria Math"/>
                <w:lang w:bidi="ru-RU"/>
              </w:rPr>
              <m:t>0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bSup>
      </m:oMath>
      <w:r>
        <w:t>. Тогда уравнение (</w:t>
      </w:r>
      <w:r>
        <w:rPr>
          <w:lang w:val="en-US"/>
        </w:rPr>
        <w:t>3</w:t>
      </w:r>
      <w:r>
        <w:t>.</w:t>
      </w:r>
      <w:r>
        <w:rPr>
          <w:lang w:val="en-US"/>
        </w:rPr>
        <w:t>11</w:t>
      </w:r>
      <w:r>
        <w:t>) после преобразований примет вид</w:t>
      </w:r>
      <w:r>
        <w:rPr>
          <w:lang w:val="en-US"/>
        </w:rPr>
        <w:t>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right="-829"/>
              <w:rPr>
                <w:i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 xml:space="preserve"> 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'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SubSup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 xml:space="preserve"> 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ub>
                              <m:sup>
                                <m:r>
                                  <m:rPr/>
                                  <w:rPr>
                                    <w:rFonts w:ascii="Cambria Math" w:hAnsi="Cambria Math"/>
                                    <w:lang w:val="en-US" w:bidi="ru-RU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 w:bidi="ru-RU"/>
                                  </w:rPr>
                                </m:ctrlPr>
                              </m:sup>
                            </m:sSubSup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2</m:t>
                    </m:r>
                    <m:ctrlPr>
                      <w:rPr>
                        <w:rFonts w:ascii="Cambria Math" w:hAnsi="Cambria Math" w:cs="Times New Roman"/>
                        <w:i/>
                        <w:szCs w:val="28"/>
                        <w:lang w:val="en-US" w:bidi="ru-RU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(2)</w:t>
            </w:r>
          </w:p>
        </w:tc>
      </w:tr>
    </w:tbl>
    <w:p>
      <w:pPr>
        <w:pStyle w:val="7"/>
      </w:pPr>
      <w:r>
        <w:t>Откуда</w:t>
      </w:r>
      <w:r>
        <w:rPr>
          <w:lang w:val="en-US"/>
        </w:rPr>
        <w:t>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right="-829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вк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вк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rad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(3)</w:t>
            </w:r>
          </w:p>
        </w:tc>
      </w:tr>
    </w:tbl>
    <w:p>
      <w:pPr>
        <w:pStyle w:val="7"/>
      </w:pPr>
      <w:r>
        <w:t>Объединяя уравнения (1) и (3), находим условия соблюдения ε = const: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right="-829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вк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вк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rad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(4)</w:t>
            </w:r>
          </w:p>
        </w:tc>
      </w:tr>
    </w:tbl>
    <w:p>
      <w:pPr>
        <w:pStyle w:val="7"/>
      </w:pPr>
      <w:r>
        <w:t>Если потребителей интересует весовой расход газа G</w:t>
      </w:r>
      <w:r>
        <w:rPr>
          <w:i/>
        </w:rPr>
        <w:t>'</w:t>
      </w:r>
      <w:r>
        <w:t xml:space="preserve">, а не объемный </w:t>
      </w:r>
      <w:r>
        <w:rPr>
          <w:i/>
        </w:rPr>
        <w:t>V'</w:t>
      </w:r>
      <w:r>
        <w:t xml:space="preserve">, то он определяется с использованием уравнения состояния </w:t>
      </w:r>
      <w:r>
        <w:rPr>
          <w:i/>
        </w:rPr>
        <w:t>pv = GRT</w:t>
      </w:r>
      <w:r>
        <w:t>. Тогда</w:t>
      </w:r>
      <w:r>
        <w:rPr>
          <w:lang w:val="en-US"/>
        </w:rPr>
        <w:t>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right="-829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G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∙R∙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G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 xml:space="preserve"> 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∙R∙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T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вк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вк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rad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5)</w:t>
            </w:r>
          </w:p>
        </w:tc>
      </w:tr>
    </w:tbl>
    <w:p>
      <w:pPr>
        <w:pStyle w:val="7"/>
        <w:rPr>
          <w:lang w:val="en-US"/>
        </w:rPr>
      </w:pPr>
    </w:p>
    <w:p>
      <w:pPr>
        <w:pStyle w:val="7"/>
        <w:rPr>
          <w:lang w:val="en-US"/>
        </w:rPr>
      </w:pPr>
    </w:p>
    <w:p>
      <w:pPr>
        <w:pStyle w:val="7"/>
      </w:pPr>
      <w:r>
        <w:t>Отсюда</w:t>
      </w:r>
      <w:r>
        <w:rPr>
          <w:lang w:val="en-US"/>
        </w:rPr>
        <w:t>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right="-829"/>
              <w:rPr>
                <w:i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 xml:space="preserve"> 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 xml:space="preserve"> 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0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'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num>
                  <m:den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SubSupPr>
                      <m:e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lang w:bidi="ru-RU"/>
                          </w:rPr>
                          <m:t>вк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b>
                      <m:sup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sup>
                    </m:sSubSup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n>
                </m:f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bidi="ru-RU"/>
                              </w:rPr>
                              <m:t>вк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SubSupPr>
                          <m:e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вк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b>
                          <m:sup>
                            <m:r>
                              <m:rPr/>
                              <w:rPr>
                                <w:rFonts w:ascii="Cambria Math" w:hAnsi="Cambria Math"/>
                                <w:lang w:val="en-US" w:bidi="ru-RU"/>
                              </w:rPr>
                              <m:t>'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 w:bidi="ru-RU"/>
                              </w:rPr>
                            </m:ctrlPr>
                          </m:sup>
                        </m:sSubSup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rad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(6)</w:t>
            </w:r>
          </w:p>
        </w:tc>
      </w:tr>
    </w:tbl>
    <w:p>
      <w:pPr>
        <w:pStyle w:val="7"/>
        <w:spacing w:after="240"/>
        <w:rPr>
          <w:spacing w:val="9"/>
          <w:lang w:eastAsia="ru-RU"/>
        </w:rPr>
      </w:pPr>
      <w:r>
        <w:rPr>
          <w:lang w:eastAsia="ru-RU"/>
        </w:rPr>
        <w:t>Формулы (4) и (6) являются исходными для пересче</w:t>
      </w:r>
      <w:r>
        <w:rPr>
          <w:lang w:eastAsia="ru-RU"/>
        </w:rPr>
        <w:softHyphen/>
      </w:r>
      <w:r>
        <w:rPr>
          <w:spacing w:val="9"/>
          <w:lang w:eastAsia="ru-RU"/>
        </w:rPr>
        <w:t>та характеристик.</w:t>
      </w:r>
    </w:p>
    <w:p>
      <w:pPr>
        <w:pStyle w:val="7"/>
        <w:rPr>
          <w:lang w:eastAsia="ru-RU"/>
        </w:rPr>
      </w:pPr>
      <w:r>
        <w:rPr>
          <w:b/>
          <w:bCs/>
          <w:lang w:eastAsia="ru-RU"/>
        </w:rPr>
        <w:t>Задача 3</w:t>
      </w:r>
      <w:r>
        <w:rPr>
          <w:lang w:eastAsia="ru-RU"/>
        </w:rPr>
        <w:t xml:space="preserve">. </w:t>
      </w:r>
      <w:r>
        <w:rPr>
          <w:spacing w:val="9"/>
          <w:lang w:eastAsia="ru-RU"/>
        </w:rPr>
        <w:t xml:space="preserve"> Пусть </w:t>
      </w:r>
      <w:r>
        <w:rPr>
          <w:lang w:eastAsia="ru-RU"/>
        </w:rPr>
        <w:t xml:space="preserve">имеются исходные характеристики ТК при </w:t>
      </w:r>
      <w:r>
        <w:rPr>
          <w:lang w:val="en-US" w:eastAsia="ru-RU"/>
        </w:rPr>
        <w:t>T</w:t>
      </w:r>
      <w:r>
        <w:rPr>
          <w:vertAlign w:val="subscript"/>
          <w:lang w:eastAsia="ru-RU"/>
        </w:rPr>
        <w:t>вк</w:t>
      </w:r>
      <w:r>
        <w:rPr>
          <w:lang w:eastAsia="ru-RU"/>
        </w:rPr>
        <w:t xml:space="preserve"> = 270 К и при двух частотах вращения 3000 и 2800 об/мин (см. слайд 3.6). Требуется построить характеристику данного ТК при </w:t>
      </w:r>
      <w:r>
        <w:rPr>
          <w:iCs/>
          <w:lang w:eastAsia="ru-RU"/>
        </w:rPr>
        <w:t>Т</w:t>
      </w:r>
      <w:r>
        <w:rPr>
          <w:iCs/>
          <w:vertAlign w:val="subscript"/>
          <w:lang w:eastAsia="ru-RU"/>
        </w:rPr>
        <w:t>в</w:t>
      </w:r>
      <w:r>
        <w:rPr>
          <w:vertAlign w:val="subscript"/>
          <w:lang w:eastAsia="ru-RU"/>
        </w:rPr>
        <w:t>к</w:t>
      </w:r>
      <w:r>
        <w:rPr>
          <w:lang w:eastAsia="ru-RU"/>
        </w:rPr>
        <w:t xml:space="preserve"> = 300 К.</w:t>
      </w:r>
    </w:p>
    <w:p>
      <w:pPr>
        <w:pStyle w:val="7"/>
        <w:rPr>
          <w:lang w:eastAsia="ru-RU"/>
        </w:rPr>
      </w:pPr>
      <w:r>
        <w:rPr>
          <w:spacing w:val="6"/>
          <w:lang w:eastAsia="ru-RU"/>
        </w:rPr>
        <w:t xml:space="preserve">Фиксируем на исходных характеристиках точки </w:t>
      </w:r>
      <w:r>
        <w:rPr>
          <w:iCs/>
          <w:spacing w:val="6"/>
          <w:lang w:eastAsia="ru-RU"/>
        </w:rPr>
        <w:t>А</w:t>
      </w:r>
      <w:r>
        <w:rPr>
          <w:iCs/>
          <w:spacing w:val="6"/>
          <w:vertAlign w:val="superscript"/>
          <w:lang w:eastAsia="ru-RU"/>
        </w:rPr>
        <w:t>0</w:t>
      </w:r>
      <w:r>
        <w:rPr>
          <w:iCs/>
          <w:spacing w:val="6"/>
          <w:lang w:eastAsia="ru-RU"/>
        </w:rPr>
        <w:t>, Б°, В</w:t>
      </w:r>
      <w:r>
        <w:rPr>
          <w:iCs/>
          <w:spacing w:val="6"/>
          <w:vertAlign w:val="superscript"/>
          <w:lang w:eastAsia="ru-RU"/>
        </w:rPr>
        <w:t>0</w:t>
      </w:r>
      <w:r>
        <w:rPr>
          <w:iCs/>
          <w:spacing w:val="6"/>
          <w:lang w:eastAsia="ru-RU"/>
        </w:rPr>
        <w:t xml:space="preserve">, </w:t>
      </w:r>
      <w:r>
        <w:rPr>
          <w:iCs/>
          <w:lang w:eastAsia="ru-RU"/>
        </w:rPr>
        <w:t xml:space="preserve">Г°, </w:t>
      </w:r>
      <w:r>
        <w:rPr>
          <w:lang w:eastAsia="ru-RU"/>
        </w:rPr>
        <w:t xml:space="preserve">Д°, </w:t>
      </w:r>
      <w:r>
        <w:rPr>
          <w:iCs/>
          <w:lang w:eastAsia="ru-RU"/>
        </w:rPr>
        <w:t>Е</w:t>
      </w:r>
      <w:r>
        <w:rPr>
          <w:lang w:eastAsia="ru-RU"/>
        </w:rPr>
        <w:t>, Ж</w:t>
      </w:r>
      <w:r>
        <w:rPr>
          <w:vertAlign w:val="superscript"/>
          <w:lang w:eastAsia="ru-RU"/>
        </w:rPr>
        <w:t>0</w:t>
      </w:r>
      <w:r>
        <w:rPr>
          <w:lang w:eastAsia="ru-RU"/>
        </w:rPr>
        <w:t xml:space="preserve">, 3°. Соответствующие этим точкам массовые расходы газа внесем в табл. 1. </w:t>
      </w:r>
    </w:p>
    <w:p>
      <w:pPr>
        <w:pStyle w:val="7"/>
      </w:pPr>
      <w:r>
        <w:rPr>
          <w:lang w:eastAsia="ru-RU"/>
        </w:rPr>
        <w:t xml:space="preserve">По формуле (6) определяем переходный коэффициент от </w:t>
      </w:r>
      <w:r>
        <w:rPr>
          <w:lang w:val="en-US" w:eastAsia="ru-RU"/>
        </w:rPr>
        <w:t>G</w:t>
      </w:r>
      <w:r>
        <w:rPr>
          <w:vertAlign w:val="superscript"/>
          <w:lang w:eastAsia="ru-RU"/>
        </w:rPr>
        <w:t>0</w:t>
      </w:r>
      <w:r>
        <w:rPr>
          <w:lang w:eastAsia="ru-RU"/>
        </w:rPr>
        <w:t xml:space="preserve"> к </w:t>
      </w:r>
      <w:r>
        <w:rPr>
          <w:iCs/>
          <w:lang w:val="en-US" w:eastAsia="ru-RU"/>
        </w:rPr>
        <w:t>G</w:t>
      </w:r>
      <w:r>
        <w:rPr>
          <w:iCs/>
          <w:vertAlign w:val="superscript"/>
          <w:lang w:eastAsia="ru-RU"/>
        </w:rPr>
        <w:t>’</w:t>
      </w:r>
      <w:r>
        <w:rPr>
          <w:i/>
          <w:iCs/>
          <w:lang w:eastAsia="ru-RU"/>
        </w:rPr>
        <w:t xml:space="preserve">. </w:t>
      </w:r>
      <w:r>
        <w:rPr>
          <w:lang w:eastAsia="ru-RU"/>
        </w:rPr>
        <w:t>Принимая для общности решения задачи, что в но</w:t>
      </w:r>
      <w:r>
        <w:rPr>
          <w:lang w:eastAsia="ru-RU"/>
        </w:rPr>
        <w:softHyphen/>
      </w:r>
      <w:r>
        <w:rPr>
          <w:spacing w:val="-2"/>
          <w:lang w:eastAsia="ru-RU"/>
        </w:rPr>
        <w:t xml:space="preserve">вых условиях давление на входе в ТК меньше, чем оно было при </w:t>
      </w:r>
      <w:r>
        <w:rPr>
          <w:lang w:eastAsia="ru-RU"/>
        </w:rPr>
        <w:t xml:space="preserve">построении исходной характеристики </w:t>
      </w:r>
      <m:oMath>
        <m:sSubSup>
          <m:sSubSupPr>
            <m:ctrlPr>
              <w:rPr>
                <w:rFonts w:ascii="Cambria Math" w:hAnsi="Cambria Math"/>
                <w:i/>
                <w:lang w:val="en-US" w:bidi="ru-RU"/>
              </w:rPr>
            </m:ctrlPr>
          </m:sSubSupPr>
          <m:e>
            <m:r>
              <m:rPr/>
              <w:rPr>
                <w:rFonts w:ascii="Cambria Math" w:hAnsi="Cambria Math"/>
                <w:lang w:val="en-US" w:bidi="ru-RU"/>
              </w:rPr>
              <m:t>p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b>
            <m:r>
              <m:rPr/>
              <w:rPr>
                <w:rFonts w:ascii="Cambria Math" w:hAnsi="Cambria Math"/>
                <w:lang w:bidi="ru-RU"/>
              </w:rPr>
              <m:t>вк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b>
          <m:sup>
            <m:r>
              <m:rPr/>
              <w:rPr>
                <w:rFonts w:ascii="Cambria Math" w:hAnsi="Cambria Math"/>
                <w:lang w:bidi="ru-RU"/>
              </w:rPr>
              <m:t>'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bSup>
        <m:r>
          <m:rPr/>
          <w:rPr>
            <w:rFonts w:ascii="Cambria Math" w:hAnsi="Cambria Math"/>
            <w:lang w:bidi="ru-RU"/>
          </w:rPr>
          <m:t>=0,95∙</m:t>
        </m:r>
        <m:sSubSup>
          <m:sSubSupPr>
            <m:ctrlPr>
              <w:rPr>
                <w:rFonts w:ascii="Cambria Math" w:hAnsi="Cambria Math"/>
                <w:i/>
                <w:lang w:val="en-US" w:bidi="ru-RU"/>
              </w:rPr>
            </m:ctrlPr>
          </m:sSubSupPr>
          <m:e>
            <m:r>
              <m:rPr/>
              <w:rPr>
                <w:rFonts w:ascii="Cambria Math" w:hAnsi="Cambria Math"/>
                <w:lang w:val="en-US" w:bidi="ru-RU"/>
              </w:rPr>
              <m:t>p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e>
          <m:sub>
            <m:r>
              <m:rPr/>
              <w:rPr>
                <w:rFonts w:ascii="Cambria Math" w:hAnsi="Cambria Math"/>
                <w:lang w:bidi="ru-RU"/>
              </w:rPr>
              <m:t>вк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b>
          <m:sup>
            <m:r>
              <m:rPr/>
              <w:rPr>
                <w:rFonts w:ascii="Cambria Math" w:hAnsi="Cambria Math"/>
                <w:lang w:bidi="ru-RU"/>
              </w:rPr>
              <m:t>0</m:t>
            </m:r>
            <m:ctrlPr>
              <w:rPr>
                <w:rFonts w:ascii="Cambria Math" w:hAnsi="Cambria Math"/>
                <w:i/>
                <w:lang w:val="en-US" w:bidi="ru-RU"/>
              </w:rPr>
            </m:ctrlPr>
          </m:sup>
        </m:sSubSup>
      </m:oMath>
      <w:r>
        <w:rPr>
          <w:lang w:eastAsia="ru-RU"/>
        </w:rPr>
        <w:t>, по формуле (6) находим: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751" w:right="-829"/>
              <w:rPr>
                <w:i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 xml:space="preserve"> 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 xml:space="preserve"> 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0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val="en-US" w:bidi="ru-RU"/>
                  </w:rPr>
                  <m:t>∙0,95∙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270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300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rad>
                <m:r>
                  <m:rPr/>
                  <w:rPr>
                    <w:rFonts w:ascii="Cambria Math" w:hAnsi="Cambria Math"/>
                    <w:lang w:val="en-US" w:bidi="ru-RU"/>
                  </w:rPr>
                  <m:t>=0,902∙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G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 xml:space="preserve"> 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0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</w:p>
        </w:tc>
      </w:tr>
    </w:tbl>
    <w:p>
      <w:pPr>
        <w:pStyle w:val="7"/>
        <w:rPr>
          <w:lang w:eastAsia="ru-RU"/>
        </w:rPr>
      </w:pPr>
      <w:r>
        <w:rPr>
          <w:lang w:eastAsia="ru-RU"/>
        </w:rPr>
        <w:t xml:space="preserve">Полученное значение </w:t>
      </w:r>
      <w:r>
        <w:rPr>
          <w:lang w:val="en-US" w:eastAsia="ru-RU"/>
        </w:rPr>
        <w:t>G</w:t>
      </w:r>
      <w:r>
        <w:rPr>
          <w:lang w:eastAsia="ru-RU"/>
        </w:rPr>
        <w:t>'/</w:t>
      </w:r>
      <w:r>
        <w:rPr>
          <w:lang w:val="en-US" w:eastAsia="ru-RU"/>
        </w:rPr>
        <w:t>G</w:t>
      </w:r>
      <w:r>
        <w:rPr>
          <w:lang w:eastAsia="ru-RU"/>
        </w:rPr>
        <w:t>° = 0,902 вносим в табл.1.</w:t>
      </w:r>
    </w:p>
    <w:p>
      <w:pPr>
        <w:pStyle w:val="4"/>
        <w:spacing w:before="240"/>
        <w:jc w:val="left"/>
        <w:rPr>
          <w:lang w:eastAsia="ru-RU"/>
        </w:rPr>
      </w:pPr>
      <w:bookmarkStart w:id="24" w:name="_Ref129480134"/>
      <w:r>
        <w:rPr>
          <w:lang w:eastAsia="ru-RU"/>
        </w:rPr>
        <w:t>Таблица 1 – К пересчету характеристики ТК по</w:t>
      </w:r>
      <w:bookmarkEnd w:id="24"/>
      <w:r>
        <w:rPr>
          <w:lang w:eastAsia="ru-RU"/>
        </w:rPr>
        <w:t xml:space="preserve"> рис. 4.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320"/>
        <w:gridCol w:w="1372"/>
        <w:gridCol w:w="1329"/>
        <w:gridCol w:w="1342"/>
        <w:gridCol w:w="1439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Точка по рис. 3.6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G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кг/с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G’/G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val="en-US" w:eastAsia="ru-RU"/>
              </w:rPr>
              <w:t>0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G’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, кг/с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n’/n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val="en-US" w:eastAsia="ru-RU"/>
              </w:rPr>
              <w:t>0</w:t>
            </w:r>
          </w:p>
        </w:tc>
        <w:tc>
          <w:tcPr>
            <w:tcW w:w="3053" w:type="dxa"/>
            <w:gridSpan w:val="2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Приведенные частоты вращения, об/мин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n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=3000</w:t>
            </w:r>
          </w:p>
        </w:tc>
        <w:tc>
          <w:tcPr>
            <w:tcW w:w="1527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при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n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=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0,902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39,6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1,05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3150</w:t>
            </w:r>
          </w:p>
        </w:tc>
        <w:tc>
          <w:tcPr>
            <w:tcW w:w="1527" w:type="dxa"/>
            <w:vMerge w:val="restart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2940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58,6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69,4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77,5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17,1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48,6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58,6</w:t>
            </w: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7" w:type="dxa"/>
            <w:vMerge w:val="continue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>
      <w:pPr>
        <w:pStyle w:val="7"/>
      </w:pPr>
      <w:r>
        <w:rPr>
          <w:spacing w:val="5"/>
          <w:lang w:eastAsia="ru-RU"/>
        </w:rPr>
        <w:t xml:space="preserve">Пользуясь этим коэффициентом, находим абсциссы всех точек </w:t>
      </w:r>
      <w:r>
        <w:rPr>
          <w:iCs/>
          <w:spacing w:val="6"/>
          <w:lang w:eastAsia="ru-RU"/>
        </w:rPr>
        <w:t xml:space="preserve">А’, Б’, В’, </w:t>
      </w:r>
      <w:r>
        <w:rPr>
          <w:iCs/>
          <w:lang w:eastAsia="ru-RU"/>
        </w:rPr>
        <w:t xml:space="preserve">Г’, </w:t>
      </w:r>
      <w:r>
        <w:rPr>
          <w:lang w:eastAsia="ru-RU"/>
        </w:rPr>
        <w:t xml:space="preserve">Д’, </w:t>
      </w:r>
      <w:r>
        <w:rPr>
          <w:iCs/>
          <w:lang w:eastAsia="ru-RU"/>
        </w:rPr>
        <w:t>Е’</w:t>
      </w:r>
      <w:r>
        <w:rPr>
          <w:lang w:eastAsia="ru-RU"/>
        </w:rPr>
        <w:t xml:space="preserve">, Ж’, 3’. Проводя из найденных значений </w:t>
      </w:r>
      <w:r>
        <w:rPr>
          <w:lang w:val="en-US" w:eastAsia="ru-RU"/>
        </w:rPr>
        <w:t>G</w:t>
      </w:r>
      <w:r>
        <w:rPr>
          <w:lang w:eastAsia="ru-RU"/>
        </w:rPr>
        <w:t xml:space="preserve">' абсцисс вертикали до пересечения с соответствующими линиями ε' = </w:t>
      </w:r>
      <w:r>
        <w:rPr>
          <w:lang w:val="en-US" w:eastAsia="ru-RU"/>
        </w:rPr>
        <w:t>const</w:t>
      </w:r>
      <w:r>
        <w:rPr>
          <w:lang w:eastAsia="ru-RU"/>
        </w:rPr>
        <w:t xml:space="preserve">, находим точки А', </w:t>
      </w:r>
      <w:r>
        <w:rPr>
          <w:iCs/>
          <w:lang w:eastAsia="ru-RU"/>
        </w:rPr>
        <w:t>Б', В', Г', Д', Е', Ж', 3'</w:t>
      </w:r>
      <w:r>
        <w:rPr>
          <w:i/>
          <w:iCs/>
          <w:lang w:eastAsia="ru-RU"/>
        </w:rPr>
        <w:t xml:space="preserve">. </w:t>
      </w:r>
      <w:r>
        <w:rPr>
          <w:lang w:eastAsia="ru-RU"/>
        </w:rPr>
        <w:t xml:space="preserve">Проводя через эти точки кривые, получаем искомые характеристики </w:t>
      </w:r>
      <w:r>
        <w:rPr>
          <w:i/>
          <w:iCs/>
          <w:lang w:val="en-US" w:eastAsia="ru-RU"/>
        </w:rPr>
        <w:t>ε</w:t>
      </w:r>
      <w:r>
        <w:rPr>
          <w:i/>
          <w:iCs/>
          <w:lang w:eastAsia="ru-RU"/>
        </w:rPr>
        <w:t xml:space="preserve">’ = </w:t>
      </w:r>
      <w:r>
        <w:rPr>
          <w:i/>
          <w:iCs/>
          <w:lang w:val="en-US" w:eastAsia="ru-RU"/>
        </w:rPr>
        <w:t>f</w:t>
      </w:r>
      <w:r>
        <w:rPr>
          <w:i/>
          <w:iCs/>
          <w:lang w:eastAsia="ru-RU"/>
        </w:rPr>
        <w:t>(</w:t>
      </w:r>
      <w:r>
        <w:rPr>
          <w:i/>
          <w:iCs/>
          <w:lang w:val="en-US" w:eastAsia="ru-RU"/>
        </w:rPr>
        <w:t>n</w:t>
      </w:r>
      <w:r>
        <w:rPr>
          <w:i/>
          <w:iCs/>
          <w:lang w:eastAsia="ru-RU"/>
        </w:rPr>
        <w:t xml:space="preserve">, </w:t>
      </w:r>
      <w:r>
        <w:rPr>
          <w:i/>
          <w:iCs/>
          <w:lang w:val="en-US" w:eastAsia="ru-RU"/>
        </w:rPr>
        <w:t>G</w:t>
      </w:r>
      <w:r>
        <w:rPr>
          <w:i/>
          <w:iCs/>
          <w:lang w:eastAsia="ru-RU"/>
        </w:rPr>
        <w:t xml:space="preserve">). </w:t>
      </w:r>
      <w:r>
        <w:rPr>
          <w:spacing w:val="7"/>
          <w:lang w:eastAsia="ru-RU"/>
        </w:rPr>
        <w:t xml:space="preserve">Так как частоты вращения ТК в этих точках будут иными, чем </w:t>
      </w:r>
      <w:r>
        <w:rPr>
          <w:spacing w:val="4"/>
          <w:lang w:eastAsia="ru-RU"/>
        </w:rPr>
        <w:t xml:space="preserve">на исходной характеристике, их новые значения определяем с </w:t>
      </w:r>
      <w:r>
        <w:rPr>
          <w:lang w:eastAsia="ru-RU"/>
        </w:rPr>
        <w:t>учетом переводного коэффициента по формуле (3.14):</w:t>
      </w:r>
    </w:p>
    <w:tbl>
      <w:tblPr>
        <w:tblStyle w:val="6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5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751" w:right="-829"/>
              <w:rPr>
                <w:i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 xml:space="preserve"> 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'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val="en-US" w:bidi="ru-RU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 xml:space="preserve"> 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0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300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lang w:val="en-US" w:bidi="ru-RU"/>
                          </w:rPr>
                          <m:t>270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bidi="ru-RU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</m:rad>
                <m:r>
                  <m:rPr/>
                  <w:rPr>
                    <w:rFonts w:ascii="Cambria Math" w:hAnsi="Cambria Math"/>
                    <w:lang w:val="en-US" w:bidi="ru-RU"/>
                  </w:rPr>
                  <m:t>=1</m:t>
                </m:r>
                <m:r>
                  <m:rPr/>
                  <w:rPr>
                    <w:rFonts w:ascii="Cambria Math" w:hAnsi="Cambria Math"/>
                    <w:lang w:bidi="ru-RU"/>
                  </w:rPr>
                  <m:t>,05</m:t>
                </m:r>
                <m:r>
                  <m:rPr/>
                  <w:rPr>
                    <w:rFonts w:ascii="Cambria Math" w:hAnsi="Cambria Math"/>
                    <w:lang w:val="en-US" w:bidi="ru-RU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 xml:space="preserve"> 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b>
                  <m:sup>
                    <m:r>
                      <m:rPr/>
                      <w:rPr>
                        <w:rFonts w:ascii="Cambria Math" w:hAnsi="Cambria Math"/>
                        <w:lang w:val="en-US" w:bidi="ru-RU"/>
                      </w:rPr>
                      <m:t>0</m:t>
                    </m:r>
                    <m:ctrlPr>
                      <w:rPr>
                        <w:rFonts w:ascii="Cambria Math" w:hAnsi="Cambria Math"/>
                        <w:i/>
                        <w:lang w:val="en-US" w:bidi="ru-RU"/>
                      </w:rPr>
                    </m:ctrlPr>
                  </m:sup>
                </m:sSubSup>
              </m:oMath>
            </m:oMathPara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7"/>
              <w:ind w:firstLine="0"/>
              <w:jc w:val="right"/>
              <w:rPr>
                <w:lang w:val="en-US"/>
              </w:rPr>
            </w:pPr>
          </w:p>
        </w:tc>
      </w:tr>
    </w:tbl>
    <w:p>
      <w:pPr>
        <w:pStyle w:val="7"/>
        <w:rPr>
          <w:lang w:eastAsia="ru-RU"/>
        </w:rPr>
      </w:pPr>
      <w:r>
        <w:rPr>
          <w:lang w:eastAsia="ru-RU"/>
        </w:rPr>
        <w:t xml:space="preserve">Как видно из приведенного примера, пересчет характеристик ТК на другую температуру газа на входе в компрессор по методу приведенных характеристик (а это наиболее частый случай на практике), несравненно проще, чем по универсальному методу. При пересчете по формулам приведенных характеристик для нахождения приведенных массовых расходов </w:t>
      </w:r>
      <w:r>
        <w:rPr>
          <w:i/>
          <w:iCs/>
          <w:lang w:val="en-US" w:eastAsia="ru-RU"/>
        </w:rPr>
        <w:t>G</w:t>
      </w:r>
      <w:r>
        <w:rPr>
          <w:i/>
          <w:iCs/>
          <w:lang w:eastAsia="ru-RU"/>
        </w:rPr>
        <w:t xml:space="preserve">' </w:t>
      </w:r>
      <w:r>
        <w:rPr>
          <w:lang w:eastAsia="ru-RU"/>
        </w:rPr>
        <w:t xml:space="preserve">переводные </w:t>
      </w:r>
      <w:r>
        <w:rPr>
          <w:spacing w:val="-1"/>
          <w:lang w:eastAsia="ru-RU"/>
        </w:rPr>
        <w:t>коэффициенты определяются только один раз, причем этот коэф</w:t>
      </w:r>
      <w:r>
        <w:rPr>
          <w:spacing w:val="-1"/>
          <w:lang w:eastAsia="ru-RU"/>
        </w:rPr>
        <w:softHyphen/>
      </w:r>
      <w:r>
        <w:rPr>
          <w:lang w:eastAsia="ru-RU"/>
        </w:rPr>
        <w:t xml:space="preserve">фициент одинаков для всех расходов </w:t>
      </w:r>
      <w:r>
        <w:rPr>
          <w:lang w:val="en-US" w:eastAsia="ru-RU"/>
        </w:rPr>
        <w:t>G</w:t>
      </w:r>
      <w:r>
        <w:rPr>
          <w:vertAlign w:val="superscript"/>
          <w:lang w:eastAsia="ru-RU"/>
        </w:rPr>
        <w:t>0</w:t>
      </w:r>
      <w:r>
        <w:rPr>
          <w:lang w:eastAsia="ru-RU"/>
        </w:rPr>
        <w:t xml:space="preserve"> и частот вращения </w:t>
      </w:r>
      <w:r>
        <w:rPr>
          <w:lang w:val="en-US" w:eastAsia="ru-RU"/>
        </w:rPr>
        <w:t>n</w:t>
      </w:r>
      <w:r>
        <w:rPr>
          <w:vertAlign w:val="superscript"/>
          <w:lang w:eastAsia="ru-RU"/>
        </w:rPr>
        <w:t>0</w:t>
      </w:r>
      <w:r>
        <w:rPr>
          <w:i/>
          <w:iCs/>
          <w:lang w:eastAsia="ru-RU"/>
        </w:rPr>
        <w:t xml:space="preserve">. </w:t>
      </w:r>
      <w:r>
        <w:rPr>
          <w:spacing w:val="1"/>
          <w:lang w:eastAsia="ru-RU"/>
        </w:rPr>
        <w:t>Одинаков для всех точек и переходной коэффициент для опре</w:t>
      </w:r>
      <w:r>
        <w:rPr>
          <w:spacing w:val="1"/>
          <w:lang w:eastAsia="ru-RU"/>
        </w:rPr>
        <w:softHyphen/>
      </w:r>
      <w:r>
        <w:rPr>
          <w:spacing w:val="6"/>
          <w:lang w:eastAsia="ru-RU"/>
        </w:rPr>
        <w:t xml:space="preserve">деления </w:t>
      </w:r>
      <w:r>
        <w:rPr>
          <w:spacing w:val="6"/>
          <w:lang w:val="en-US" w:eastAsia="ru-RU"/>
        </w:rPr>
        <w:t>n</w:t>
      </w:r>
      <w:r>
        <w:rPr>
          <w:i/>
          <w:iCs/>
          <w:lang w:eastAsia="ru-RU"/>
        </w:rPr>
        <w:t>'</w:t>
      </w:r>
      <w:r>
        <w:rPr>
          <w:spacing w:val="6"/>
          <w:lang w:eastAsia="ru-RU"/>
        </w:rPr>
        <w:t xml:space="preserve"> по </w:t>
      </w:r>
      <w:r>
        <w:rPr>
          <w:lang w:val="en-US" w:eastAsia="ru-RU"/>
        </w:rPr>
        <w:t>n</w:t>
      </w:r>
      <w:r>
        <w:rPr>
          <w:vertAlign w:val="superscript"/>
          <w:lang w:eastAsia="ru-RU"/>
        </w:rPr>
        <w:t>0</w:t>
      </w:r>
      <w:r>
        <w:rPr>
          <w:i/>
          <w:iCs/>
          <w:spacing w:val="6"/>
          <w:lang w:eastAsia="ru-RU"/>
        </w:rPr>
        <w:t>.</w:t>
      </w:r>
    </w:p>
    <w:p>
      <w:pPr>
        <w:pStyle w:val="4"/>
      </w:pPr>
      <w:bookmarkStart w:id="25" w:name="_Ref129480394"/>
      <w:r>
        <w:rPr>
          <w:lang w:eastAsia="ru-RU"/>
        </w:rPr>
        <w:drawing>
          <wp:inline distT="0" distB="0" distL="0" distR="0">
            <wp:extent cx="5414645" cy="343471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9539" cy="343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Рис. Рис.4 – Пересчет характеристики турбокомпрессора по формулам приведенных характеристик:</w:t>
      </w:r>
      <w:bookmarkEnd w:id="25"/>
      <w:r>
        <w:t xml:space="preserve"> </w:t>
      </w:r>
    </w:p>
    <w:p>
      <w:pPr>
        <w:pStyle w:val="4"/>
      </w:pPr>
      <w:r>
        <w:t>а, б — исходная   и   пересчитанная   характеристики, 1 – n = 2800 об/мин, 2 – n = 3000 об/мин, 3 – n = 2940 об/мин, 4 – n = 3150 об/мин.</w:t>
      </w:r>
    </w:p>
    <w:p>
      <w:pPr>
        <w:pStyle w:val="7"/>
        <w:rPr>
          <w:rFonts w:eastAsia="Calibri"/>
        </w:rPr>
      </w:pPr>
    </w:p>
    <w:p>
      <w:pPr>
        <w:pStyle w:val="7"/>
        <w:rPr>
          <w:rFonts w:eastAsia="Calibri"/>
        </w:rPr>
      </w:pPr>
      <w:r>
        <w:rPr>
          <w:rFonts w:eastAsia="Calibri"/>
        </w:rPr>
        <w:t>Контрольные вопросы: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Как изменится степень сжатия компрессора при увеличении температуры газа на всасе?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-Увеличится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-Останется неизменной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-Уменьшится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Как изменится массовая производительность компрессора при увеличении температуры газа на всасе?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-Увеличится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-Останется неизменной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-Уменьшится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Как зависит напор компрессора от увеличения плотности газа?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-Увеличивается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-Останется неизменным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-Уменьшается</w:t>
      </w: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41E"/>
    <w:rsid w:val="00004BEE"/>
    <w:rsid w:val="00060B8A"/>
    <w:rsid w:val="00255CB4"/>
    <w:rsid w:val="00331C5C"/>
    <w:rsid w:val="004B6968"/>
    <w:rsid w:val="00554653"/>
    <w:rsid w:val="00655035"/>
    <w:rsid w:val="0067353E"/>
    <w:rsid w:val="006A64B1"/>
    <w:rsid w:val="009C168B"/>
    <w:rsid w:val="00AA641E"/>
    <w:rsid w:val="00B101FD"/>
    <w:rsid w:val="00BD3270"/>
    <w:rsid w:val="00EB7949"/>
    <w:rsid w:val="00F852FB"/>
    <w:rsid w:val="306B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unhideWhenUsed/>
    <w:qFormat/>
    <w:uiPriority w:val="35"/>
    <w:pPr>
      <w:spacing w:after="120" w:line="240" w:lineRule="auto"/>
      <w:contextualSpacing/>
      <w:jc w:val="center"/>
    </w:pPr>
    <w:rPr>
      <w:rFonts w:ascii="Times New Roman" w:hAnsi="Times New Roman"/>
      <w:iCs/>
      <w:sz w:val="28"/>
      <w:szCs w:val="18"/>
    </w:rPr>
  </w:style>
  <w:style w:type="paragraph" w:styleId="5">
    <w:name w:val="Body Text"/>
    <w:basedOn w:val="1"/>
    <w:link w:val="8"/>
    <w:qFormat/>
    <w:uiPriority w:val="0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</w:rPr>
  </w:style>
  <w:style w:type="table" w:styleId="6">
    <w:name w:val="Table Grid"/>
    <w:basedOn w:val="3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Просто текст"/>
    <w:basedOn w:val="1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8">
    <w:name w:val="Основной текст Знак"/>
    <w:basedOn w:val="2"/>
    <w:link w:val="5"/>
    <w:qFormat/>
    <w:uiPriority w:val="0"/>
    <w:rPr>
      <w:rFonts w:ascii="Arial" w:hAnsi="Arial" w:eastAsia="Times New Roman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729</Words>
  <Characters>4161</Characters>
  <Lines>34</Lines>
  <Paragraphs>9</Paragraphs>
  <TotalTime>0</TotalTime>
  <ScaleCrop>false</ScaleCrop>
  <LinksUpToDate>false</LinksUpToDate>
  <CharactersWithSpaces>4881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2024-03-27T12:16:00Z</dcterms:created>
  <dc:creator>Ситас Виктор Иванович</dc:creator>
  <cp:lastModifiedBy>User</cp:lastModifiedBy>
  <dcterms:modified xsi:type="dcterms:W3CDTF">2024-03-28T07:19:03Z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ACCDDE0FE01E4404819AC848D2E2203E_13</vt:lpwstr>
  </property>
</Properties>
</file>